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B029EB" w:rsidP="00D82E21">
                                <w:pPr>
                                  <w:rPr>
                                    <w:rFonts w:ascii="Arial" w:hAnsi="Arial" w:cs="Arial"/>
                                  </w:rPr>
                                </w:pPr>
                                <w:r>
                                  <w:rPr>
                                    <w:rFonts w:ascii="Arial" w:hAnsi="Arial" w:cs="Arial"/>
                                    <w:b/>
                                  </w:rPr>
                                  <w:t xml:space="preserve">November </w:t>
                                </w:r>
                                <w:r w:rsidR="00E4103D">
                                  <w:rPr>
                                    <w:rFonts w:ascii="Arial" w:hAnsi="Arial" w:cs="Arial"/>
                                    <w:b/>
                                  </w:rPr>
                                  <w:t>18</w:t>
                                </w:r>
                                <w:r w:rsidR="0082436D">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B029EB" w:rsidP="00D82E21">
                          <w:pPr>
                            <w:rPr>
                              <w:rFonts w:ascii="Arial" w:hAnsi="Arial" w:cs="Arial"/>
                            </w:rPr>
                          </w:pPr>
                          <w:r>
                            <w:rPr>
                              <w:rFonts w:ascii="Arial" w:hAnsi="Arial" w:cs="Arial"/>
                              <w:b/>
                            </w:rPr>
                            <w:t xml:space="preserve">November </w:t>
                          </w:r>
                          <w:r w:rsidR="00E4103D">
                            <w:rPr>
                              <w:rFonts w:ascii="Arial" w:hAnsi="Arial" w:cs="Arial"/>
                              <w:b/>
                            </w:rPr>
                            <w:t>18</w:t>
                          </w:r>
                          <w:r w:rsidR="0082436D">
                            <w:rPr>
                              <w:rFonts w:ascii="Arial" w:hAnsi="Arial" w:cs="Arial"/>
                              <w:b/>
                            </w:rPr>
                            <w:t>,</w:t>
                          </w:r>
                          <w:r w:rsidR="00CA4EEA">
                            <w:rPr>
                              <w:rFonts w:ascii="Arial" w:hAnsi="Arial" w:cs="Arial"/>
                              <w:b/>
                            </w:rPr>
                            <w:t xml:space="preserve">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587DB0" w:rsidRPr="00587DB0">
        <w:rPr>
          <w:rFonts w:ascii="Arial" w:hAnsi="Arial" w:cs="Arial"/>
          <w:sz w:val="20"/>
          <w:szCs w:val="20"/>
        </w:rPr>
        <w:t>ASG (Aubrey Rine), Hillary Abbott, Dustin Bare, Nora Brodnicki, Rick Carino, Elizabeth Carney, Amanda Coffey, Megan Feagles (Recorder), Bev Forney, Sharron Furno, Sue Goff, Kerrie Hughes (Chair), Jason Kovac, Eric Lee, Kara Leonard, Mike Mattson, Patricia McFarland, Tracy Nelson, David Plotkin, Lisa Reynolds, Terrie Sanne, Charles Siegfried, Casey Sims, Tara Sprehe, Sarah Steidl, Dru Urbassik, Andrea Vergun, Helen Wand,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587DB0">
        <w:rPr>
          <w:rFonts w:ascii="Arial" w:hAnsi="Arial" w:cs="Arial"/>
          <w:sz w:val="20"/>
          <w:szCs w:val="20"/>
        </w:rPr>
        <w:t>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587DB0" w:rsidRPr="00587DB0">
        <w:rPr>
          <w:rFonts w:ascii="Arial" w:hAnsi="Arial" w:cs="Arial"/>
          <w:sz w:val="20"/>
          <w:szCs w:val="20"/>
        </w:rPr>
        <w:t>George Burgess, Armetta Burney, Dawn Hendricks, Laura Lundborg</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E4103D">
        <w:rPr>
          <w:rFonts w:ascii="Arial" w:hAnsi="Arial" w:cs="Arial"/>
          <w:sz w:val="20"/>
        </w:rPr>
        <w:t>November 4</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EA721E" w:rsidP="00EA721E">
      <w:pPr>
        <w:pStyle w:val="ListParagraph"/>
        <w:numPr>
          <w:ilvl w:val="1"/>
          <w:numId w:val="1"/>
        </w:numPr>
        <w:rPr>
          <w:rFonts w:ascii="Arial" w:hAnsi="Arial" w:cs="Arial"/>
          <w:b/>
          <w:sz w:val="20"/>
        </w:rPr>
      </w:pPr>
      <w:bookmarkStart w:id="0" w:name="_Hlk56415892"/>
      <w:r w:rsidRPr="00EA721E">
        <w:rPr>
          <w:rFonts w:ascii="Arial" w:hAnsi="Arial" w:cs="Arial"/>
          <w:b/>
          <w:sz w:val="20"/>
        </w:rPr>
        <w:t>Course Inactivations</w:t>
      </w:r>
    </w:p>
    <w:p w:rsidR="00EA721E" w:rsidRPr="00023BEC" w:rsidRDefault="00023BEC" w:rsidP="00EA721E">
      <w:pPr>
        <w:pStyle w:val="ListParagraph"/>
        <w:numPr>
          <w:ilvl w:val="2"/>
          <w:numId w:val="1"/>
        </w:numPr>
        <w:rPr>
          <w:rFonts w:ascii="Arial" w:hAnsi="Arial" w:cs="Arial"/>
          <w:sz w:val="20"/>
        </w:rPr>
      </w:pPr>
      <w:r w:rsidRPr="00023BEC">
        <w:rPr>
          <w:rFonts w:ascii="Arial" w:hAnsi="Arial" w:cs="Arial"/>
          <w:sz w:val="20"/>
        </w:rPr>
        <w:t>CS-202</w:t>
      </w:r>
    </w:p>
    <w:p w:rsidR="00023BEC" w:rsidRPr="00023BEC" w:rsidRDefault="00023BEC" w:rsidP="00023BEC">
      <w:pPr>
        <w:pStyle w:val="ListParagraph"/>
        <w:numPr>
          <w:ilvl w:val="3"/>
          <w:numId w:val="1"/>
        </w:numPr>
        <w:rPr>
          <w:rFonts w:ascii="Arial" w:hAnsi="Arial" w:cs="Arial"/>
          <w:sz w:val="20"/>
        </w:rPr>
      </w:pPr>
      <w:r w:rsidRPr="00023BEC">
        <w:rPr>
          <w:rFonts w:ascii="Arial" w:hAnsi="Arial" w:cs="Arial"/>
          <w:sz w:val="20"/>
        </w:rPr>
        <w:t>The Curriculum Office presented for Jen Miller</w:t>
      </w:r>
    </w:p>
    <w:p w:rsidR="00023BEC" w:rsidRPr="00023BEC" w:rsidRDefault="00023BEC" w:rsidP="00023BEC">
      <w:pPr>
        <w:pStyle w:val="ListParagraph"/>
        <w:numPr>
          <w:ilvl w:val="3"/>
          <w:numId w:val="1"/>
        </w:numPr>
        <w:rPr>
          <w:rFonts w:ascii="Arial" w:hAnsi="Arial" w:cs="Arial"/>
          <w:sz w:val="20"/>
        </w:rPr>
      </w:pPr>
      <w:r w:rsidRPr="00023BEC">
        <w:rPr>
          <w:rFonts w:ascii="Arial" w:hAnsi="Arial" w:cs="Arial"/>
          <w:sz w:val="20"/>
        </w:rPr>
        <w:t>PSU has removed this class from their Computer Science degree and will no longer be offering it starting next year. Inactivating the course will keep us aligned with PSU.</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Default="00EA721E" w:rsidP="00EA721E">
      <w:pPr>
        <w:pStyle w:val="ListParagraph"/>
        <w:numPr>
          <w:ilvl w:val="1"/>
          <w:numId w:val="1"/>
        </w:numPr>
        <w:rPr>
          <w:rFonts w:ascii="Arial" w:hAnsi="Arial" w:cs="Arial"/>
          <w:b/>
          <w:sz w:val="20"/>
        </w:rPr>
      </w:pPr>
      <w:r w:rsidRPr="00EA721E">
        <w:rPr>
          <w:rFonts w:ascii="Arial" w:hAnsi="Arial" w:cs="Arial"/>
          <w:b/>
          <w:sz w:val="20"/>
        </w:rPr>
        <w:t>Course Reactivations</w:t>
      </w:r>
    </w:p>
    <w:p w:rsidR="00EA721E" w:rsidRPr="00504985" w:rsidRDefault="00504985" w:rsidP="00EA721E">
      <w:pPr>
        <w:pStyle w:val="ListParagraph"/>
        <w:numPr>
          <w:ilvl w:val="2"/>
          <w:numId w:val="1"/>
        </w:numPr>
        <w:rPr>
          <w:rFonts w:ascii="Arial" w:hAnsi="Arial" w:cs="Arial"/>
          <w:b/>
          <w:sz w:val="20"/>
        </w:rPr>
      </w:pPr>
      <w:r>
        <w:rPr>
          <w:rFonts w:ascii="Arial" w:hAnsi="Arial" w:cs="Arial"/>
          <w:sz w:val="20"/>
        </w:rPr>
        <w:t>AM-100</w:t>
      </w:r>
    </w:p>
    <w:p w:rsidR="00504985" w:rsidRPr="00504985" w:rsidRDefault="00504985" w:rsidP="00EA721E">
      <w:pPr>
        <w:pStyle w:val="ListParagraph"/>
        <w:numPr>
          <w:ilvl w:val="2"/>
          <w:numId w:val="1"/>
        </w:numPr>
        <w:rPr>
          <w:rFonts w:ascii="Arial" w:hAnsi="Arial" w:cs="Arial"/>
          <w:b/>
          <w:sz w:val="20"/>
        </w:rPr>
      </w:pPr>
      <w:r>
        <w:rPr>
          <w:rFonts w:ascii="Arial" w:hAnsi="Arial" w:cs="Arial"/>
          <w:sz w:val="20"/>
        </w:rPr>
        <w:t>Shelly Tracy presented</w:t>
      </w:r>
    </w:p>
    <w:p w:rsidR="00504985" w:rsidRPr="00492143" w:rsidRDefault="00492143" w:rsidP="00EA721E">
      <w:pPr>
        <w:pStyle w:val="ListParagraph"/>
        <w:numPr>
          <w:ilvl w:val="2"/>
          <w:numId w:val="1"/>
        </w:numPr>
        <w:rPr>
          <w:rFonts w:ascii="Arial" w:hAnsi="Arial" w:cs="Arial"/>
          <w:sz w:val="20"/>
        </w:rPr>
      </w:pPr>
      <w:r w:rsidRPr="00492143">
        <w:rPr>
          <w:rFonts w:ascii="Arial" w:hAnsi="Arial" w:cs="Arial"/>
          <w:sz w:val="20"/>
        </w:rPr>
        <w:t>This is a foundational class. This may part of an upcoming less-than-one-year certificate</w:t>
      </w:r>
      <w:r>
        <w:rPr>
          <w:rFonts w:ascii="Arial" w:hAnsi="Arial" w:cs="Arial"/>
          <w:sz w:val="20"/>
        </w:rPr>
        <w:t>.</w:t>
      </w:r>
    </w:p>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EA721E" w:rsidRDefault="005E7D1C" w:rsidP="00EA721E">
      <w:pPr>
        <w:pStyle w:val="ListParagraph"/>
        <w:numPr>
          <w:ilvl w:val="1"/>
          <w:numId w:val="1"/>
        </w:numPr>
        <w:rPr>
          <w:rFonts w:ascii="Arial" w:hAnsi="Arial" w:cs="Arial"/>
          <w:b/>
          <w:sz w:val="20"/>
        </w:rPr>
      </w:pPr>
      <w:r>
        <w:rPr>
          <w:rFonts w:ascii="Arial" w:hAnsi="Arial" w:cs="Arial"/>
          <w:b/>
          <w:sz w:val="20"/>
        </w:rPr>
        <w:t>New Courses</w:t>
      </w:r>
    </w:p>
    <w:p w:rsidR="00C3758F" w:rsidRDefault="00C3758F" w:rsidP="00C3758F">
      <w:pPr>
        <w:pStyle w:val="ListParagraph"/>
        <w:ind w:left="1440"/>
        <w:rPr>
          <w:rFonts w:ascii="Arial" w:hAnsi="Arial" w:cs="Arial"/>
          <w:sz w:val="20"/>
        </w:rPr>
      </w:pPr>
      <w:r>
        <w:rPr>
          <w:rFonts w:ascii="Arial" w:hAnsi="Arial" w:cs="Arial"/>
          <w:sz w:val="20"/>
        </w:rPr>
        <w:t>Bev Forney presented</w:t>
      </w:r>
    </w:p>
    <w:p w:rsidR="00EA721E" w:rsidRDefault="00C3758F" w:rsidP="00EA721E">
      <w:pPr>
        <w:pStyle w:val="ListParagraph"/>
        <w:numPr>
          <w:ilvl w:val="2"/>
          <w:numId w:val="1"/>
        </w:numPr>
        <w:rPr>
          <w:rFonts w:ascii="Arial" w:hAnsi="Arial" w:cs="Arial"/>
          <w:sz w:val="20"/>
        </w:rPr>
      </w:pPr>
      <w:r w:rsidRPr="00C3758F">
        <w:rPr>
          <w:rFonts w:ascii="Arial" w:hAnsi="Arial" w:cs="Arial"/>
          <w:sz w:val="20"/>
        </w:rPr>
        <w:t>BA-127, BA-128</w:t>
      </w:r>
    </w:p>
    <w:p w:rsidR="00C3758F" w:rsidRDefault="00C3758F" w:rsidP="00C3758F">
      <w:pPr>
        <w:pStyle w:val="ListParagraph"/>
        <w:numPr>
          <w:ilvl w:val="3"/>
          <w:numId w:val="1"/>
        </w:numPr>
        <w:rPr>
          <w:rFonts w:ascii="Arial" w:hAnsi="Arial" w:cs="Arial"/>
          <w:sz w:val="20"/>
        </w:rPr>
      </w:pPr>
      <w:r>
        <w:rPr>
          <w:rFonts w:ascii="Arial" w:hAnsi="Arial" w:cs="Arial"/>
          <w:sz w:val="20"/>
        </w:rPr>
        <w:t>BA-127 will replace BA-126. They will not be equated.</w:t>
      </w:r>
    </w:p>
    <w:p w:rsidR="00C3758F" w:rsidRDefault="00C3758F" w:rsidP="00FD544D">
      <w:pPr>
        <w:pStyle w:val="ListParagraph"/>
        <w:numPr>
          <w:ilvl w:val="4"/>
          <w:numId w:val="1"/>
        </w:numPr>
        <w:rPr>
          <w:rFonts w:ascii="Arial" w:hAnsi="Arial" w:cs="Arial"/>
          <w:sz w:val="20"/>
        </w:rPr>
      </w:pPr>
      <w:r>
        <w:rPr>
          <w:rFonts w:ascii="Arial" w:hAnsi="Arial" w:cs="Arial"/>
          <w:sz w:val="20"/>
        </w:rPr>
        <w:t xml:space="preserve">The Project Management </w:t>
      </w:r>
      <w:r w:rsidR="00933BEA">
        <w:rPr>
          <w:rFonts w:ascii="Arial" w:hAnsi="Arial" w:cs="Arial"/>
          <w:sz w:val="20"/>
        </w:rPr>
        <w:t>Advisory</w:t>
      </w:r>
      <w:r>
        <w:rPr>
          <w:rFonts w:ascii="Arial" w:hAnsi="Arial" w:cs="Arial"/>
          <w:sz w:val="20"/>
        </w:rPr>
        <w:t xml:space="preserve"> </w:t>
      </w:r>
      <w:r w:rsidR="00933BEA">
        <w:rPr>
          <w:rFonts w:ascii="Arial" w:hAnsi="Arial" w:cs="Arial"/>
          <w:sz w:val="20"/>
        </w:rPr>
        <w:t>Board</w:t>
      </w:r>
      <w:r>
        <w:rPr>
          <w:rFonts w:ascii="Arial" w:hAnsi="Arial" w:cs="Arial"/>
          <w:sz w:val="20"/>
        </w:rPr>
        <w:t xml:space="preserve"> recognized this course as needing a refresh and clear focus on agile and change management.</w:t>
      </w:r>
    </w:p>
    <w:p w:rsidR="00703BD2" w:rsidRDefault="00933BEA" w:rsidP="00703BD2">
      <w:pPr>
        <w:pStyle w:val="ListParagraph"/>
        <w:numPr>
          <w:ilvl w:val="3"/>
          <w:numId w:val="1"/>
        </w:numPr>
        <w:rPr>
          <w:rFonts w:ascii="Arial" w:hAnsi="Arial" w:cs="Arial"/>
          <w:sz w:val="20"/>
        </w:rPr>
      </w:pPr>
      <w:r>
        <w:rPr>
          <w:rFonts w:ascii="Arial" w:hAnsi="Arial" w:cs="Arial"/>
          <w:sz w:val="20"/>
        </w:rPr>
        <w:t>BA-128 will combine BA-122, BA-123, and BA-124 into one 4 credit course. This was a recommendation from the Project Management Advisory Board.</w:t>
      </w:r>
    </w:p>
    <w:p w:rsidR="00F34042" w:rsidRDefault="00F34042" w:rsidP="00F34042">
      <w:pPr>
        <w:pStyle w:val="ListParagraph"/>
        <w:numPr>
          <w:ilvl w:val="3"/>
          <w:numId w:val="1"/>
        </w:numPr>
        <w:rPr>
          <w:rFonts w:ascii="Arial" w:hAnsi="Arial" w:cs="Arial"/>
          <w:sz w:val="20"/>
        </w:rPr>
      </w:pPr>
      <w:r>
        <w:rPr>
          <w:rFonts w:ascii="Arial" w:hAnsi="Arial" w:cs="Arial"/>
          <w:sz w:val="20"/>
        </w:rPr>
        <w:t>How similar are our Project Management programs to other community colleges? Are students missing key course content through this potential consolidation?</w:t>
      </w:r>
    </w:p>
    <w:p w:rsidR="00F34042" w:rsidRDefault="00F34042" w:rsidP="00F34042">
      <w:pPr>
        <w:pStyle w:val="ListParagraph"/>
        <w:numPr>
          <w:ilvl w:val="4"/>
          <w:numId w:val="1"/>
        </w:numPr>
        <w:rPr>
          <w:rFonts w:ascii="Arial" w:hAnsi="Arial" w:cs="Arial"/>
          <w:sz w:val="20"/>
        </w:rPr>
      </w:pPr>
      <w:r>
        <w:rPr>
          <w:rFonts w:ascii="Arial" w:hAnsi="Arial" w:cs="Arial"/>
          <w:sz w:val="20"/>
        </w:rPr>
        <w:t xml:space="preserve">The Project Management Advisory Board has not yet compared our program and courses to other community colleges. </w:t>
      </w:r>
    </w:p>
    <w:p w:rsidR="00703BD2" w:rsidRPr="00EA721E" w:rsidRDefault="00703BD2" w:rsidP="00703BD2">
      <w:pPr>
        <w:pStyle w:val="ListParagraph"/>
        <w:ind w:left="360"/>
        <w:rPr>
          <w:rFonts w:ascii="Arial" w:hAnsi="Arial" w:cs="Arial"/>
          <w:i/>
          <w:sz w:val="20"/>
        </w:rPr>
      </w:pPr>
      <w:r w:rsidRPr="00EA721E">
        <w:rPr>
          <w:rFonts w:ascii="Arial" w:hAnsi="Arial" w:cs="Arial"/>
          <w:i/>
          <w:sz w:val="20"/>
        </w:rPr>
        <w:t>Motion to approve, approved</w:t>
      </w:r>
    </w:p>
    <w:p w:rsidR="00CB5B24" w:rsidRPr="00CB5B24" w:rsidRDefault="00CB5B24" w:rsidP="00CB5B24">
      <w:pPr>
        <w:rPr>
          <w:rFonts w:ascii="Arial" w:hAnsi="Arial" w:cs="Arial"/>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95B15" w:rsidRDefault="00944AEC" w:rsidP="00A95B15">
      <w:pPr>
        <w:pStyle w:val="ListParagraph"/>
        <w:numPr>
          <w:ilvl w:val="1"/>
          <w:numId w:val="1"/>
        </w:numPr>
        <w:rPr>
          <w:rFonts w:ascii="Arial" w:hAnsi="Arial" w:cs="Arial"/>
          <w:b/>
          <w:sz w:val="20"/>
        </w:rPr>
      </w:pP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143EF3" w:rsidP="00944AEC">
      <w:pPr>
        <w:pStyle w:val="ListParagraph"/>
        <w:numPr>
          <w:ilvl w:val="1"/>
          <w:numId w:val="1"/>
        </w:numPr>
        <w:rPr>
          <w:rFonts w:ascii="Arial" w:hAnsi="Arial" w:cs="Arial"/>
          <w:sz w:val="20"/>
        </w:rPr>
      </w:pPr>
      <w:r w:rsidRPr="00143EF3">
        <w:rPr>
          <w:rFonts w:ascii="Arial" w:hAnsi="Arial" w:cs="Arial"/>
          <w:sz w:val="20"/>
        </w:rPr>
        <w:t>Transfer Council Updates</w:t>
      </w:r>
    </w:p>
    <w:p w:rsidR="00143EF3" w:rsidRDefault="00143EF3" w:rsidP="00143EF3">
      <w:pPr>
        <w:pStyle w:val="ListParagraph"/>
        <w:numPr>
          <w:ilvl w:val="2"/>
          <w:numId w:val="1"/>
        </w:numPr>
        <w:rPr>
          <w:rFonts w:ascii="Arial" w:hAnsi="Arial" w:cs="Arial"/>
          <w:sz w:val="20"/>
        </w:rPr>
      </w:pPr>
      <w:r>
        <w:rPr>
          <w:rFonts w:ascii="Arial" w:hAnsi="Arial" w:cs="Arial"/>
          <w:sz w:val="20"/>
        </w:rPr>
        <w:t>David Plotkin presented</w:t>
      </w:r>
    </w:p>
    <w:p w:rsidR="003A712E" w:rsidRDefault="003A712E" w:rsidP="00143EF3">
      <w:pPr>
        <w:pStyle w:val="ListParagraph"/>
        <w:numPr>
          <w:ilvl w:val="2"/>
          <w:numId w:val="1"/>
        </w:numPr>
        <w:rPr>
          <w:rFonts w:ascii="Arial" w:hAnsi="Arial" w:cs="Arial"/>
          <w:sz w:val="20"/>
        </w:rPr>
      </w:pPr>
      <w:r>
        <w:rPr>
          <w:rFonts w:ascii="Arial" w:hAnsi="Arial" w:cs="Arial"/>
          <w:sz w:val="20"/>
        </w:rPr>
        <w:t>Work has been focused on Common Course Numbering.</w:t>
      </w:r>
      <w:r w:rsidR="00986267">
        <w:rPr>
          <w:rFonts w:ascii="Arial" w:hAnsi="Arial" w:cs="Arial"/>
          <w:sz w:val="20"/>
        </w:rPr>
        <w:t xml:space="preserve"> Common Courses will have a Z at the end of the</w:t>
      </w:r>
      <w:r w:rsidR="003A1D18">
        <w:rPr>
          <w:rFonts w:ascii="Arial" w:hAnsi="Arial" w:cs="Arial"/>
          <w:sz w:val="20"/>
        </w:rPr>
        <w:t xml:space="preserve"> course number.</w:t>
      </w:r>
    </w:p>
    <w:p w:rsidR="005D3F67" w:rsidRDefault="005D3F67" w:rsidP="00143EF3">
      <w:pPr>
        <w:pStyle w:val="ListParagraph"/>
        <w:numPr>
          <w:ilvl w:val="2"/>
          <w:numId w:val="1"/>
        </w:numPr>
        <w:rPr>
          <w:rFonts w:ascii="Arial" w:hAnsi="Arial" w:cs="Arial"/>
          <w:sz w:val="20"/>
        </w:rPr>
      </w:pPr>
      <w:r>
        <w:rPr>
          <w:rFonts w:ascii="Arial" w:hAnsi="Arial" w:cs="Arial"/>
          <w:sz w:val="20"/>
        </w:rPr>
        <w:t xml:space="preserve">Vote on Common Course Numbering </w:t>
      </w:r>
      <w:r w:rsidR="003A712E">
        <w:rPr>
          <w:rFonts w:ascii="Arial" w:hAnsi="Arial" w:cs="Arial"/>
          <w:sz w:val="20"/>
        </w:rPr>
        <w:t>at the</w:t>
      </w:r>
      <w:r>
        <w:rPr>
          <w:rFonts w:ascii="Arial" w:hAnsi="Arial" w:cs="Arial"/>
          <w:sz w:val="20"/>
        </w:rPr>
        <w:t xml:space="preserve"> December</w:t>
      </w:r>
      <w:r w:rsidR="003A712E">
        <w:rPr>
          <w:rFonts w:ascii="Arial" w:hAnsi="Arial" w:cs="Arial"/>
          <w:sz w:val="20"/>
        </w:rPr>
        <w:t xml:space="preserve"> 16</w:t>
      </w:r>
      <w:r w:rsidR="003A712E" w:rsidRPr="003A712E">
        <w:rPr>
          <w:rFonts w:ascii="Arial" w:hAnsi="Arial" w:cs="Arial"/>
          <w:sz w:val="20"/>
          <w:vertAlign w:val="superscript"/>
        </w:rPr>
        <w:t>th</w:t>
      </w:r>
      <w:r w:rsidR="003A712E">
        <w:rPr>
          <w:rFonts w:ascii="Arial" w:hAnsi="Arial" w:cs="Arial"/>
          <w:sz w:val="20"/>
        </w:rPr>
        <w:t xml:space="preserve"> meeting.</w:t>
      </w:r>
    </w:p>
    <w:p w:rsidR="005D3F67" w:rsidRDefault="005D3F67" w:rsidP="00143EF3">
      <w:pPr>
        <w:pStyle w:val="ListParagraph"/>
        <w:numPr>
          <w:ilvl w:val="2"/>
          <w:numId w:val="1"/>
        </w:numPr>
        <w:rPr>
          <w:rFonts w:ascii="Arial" w:hAnsi="Arial" w:cs="Arial"/>
          <w:sz w:val="20"/>
        </w:rPr>
      </w:pPr>
      <w:r>
        <w:rPr>
          <w:rFonts w:ascii="Arial" w:hAnsi="Arial" w:cs="Arial"/>
          <w:sz w:val="20"/>
        </w:rPr>
        <w:lastRenderedPageBreak/>
        <w:t>MTH-111 and MTH-112 co</w:t>
      </w:r>
      <w:r w:rsidR="000F74C6">
        <w:rPr>
          <w:rFonts w:ascii="Arial" w:hAnsi="Arial" w:cs="Arial"/>
          <w:sz w:val="20"/>
        </w:rPr>
        <w:t>u</w:t>
      </w:r>
      <w:r>
        <w:rPr>
          <w:rFonts w:ascii="Arial" w:hAnsi="Arial" w:cs="Arial"/>
          <w:sz w:val="20"/>
        </w:rPr>
        <w:t>ld change from 5 credits to 4 credits</w:t>
      </w:r>
      <w:r w:rsidR="00B53CE3">
        <w:rPr>
          <w:rFonts w:ascii="Arial" w:hAnsi="Arial" w:cs="Arial"/>
          <w:sz w:val="20"/>
        </w:rPr>
        <w:t>.</w:t>
      </w:r>
    </w:p>
    <w:p w:rsidR="005D3F67" w:rsidRDefault="005D3F67" w:rsidP="00143EF3">
      <w:pPr>
        <w:pStyle w:val="ListParagraph"/>
        <w:numPr>
          <w:ilvl w:val="2"/>
          <w:numId w:val="1"/>
        </w:numPr>
        <w:rPr>
          <w:rFonts w:ascii="Arial" w:hAnsi="Arial" w:cs="Arial"/>
          <w:sz w:val="20"/>
        </w:rPr>
      </w:pPr>
      <w:r>
        <w:rPr>
          <w:rFonts w:ascii="Arial" w:hAnsi="Arial" w:cs="Arial"/>
          <w:sz w:val="20"/>
        </w:rPr>
        <w:t>COMM-100 could change from 3 credits to 4 credits</w:t>
      </w:r>
      <w:r w:rsidR="00B53CE3">
        <w:rPr>
          <w:rFonts w:ascii="Arial" w:hAnsi="Arial" w:cs="Arial"/>
          <w:sz w:val="20"/>
        </w:rPr>
        <w:t>.</w:t>
      </w:r>
    </w:p>
    <w:p w:rsidR="001625D4" w:rsidRDefault="003E782F" w:rsidP="00143EF3">
      <w:pPr>
        <w:pStyle w:val="ListParagraph"/>
        <w:numPr>
          <w:ilvl w:val="2"/>
          <w:numId w:val="1"/>
        </w:numPr>
        <w:rPr>
          <w:rFonts w:ascii="Arial" w:hAnsi="Arial" w:cs="Arial"/>
          <w:sz w:val="20"/>
        </w:rPr>
      </w:pPr>
      <w:r>
        <w:rPr>
          <w:rFonts w:ascii="Arial" w:hAnsi="Arial" w:cs="Arial"/>
          <w:sz w:val="20"/>
        </w:rPr>
        <w:t>Why is there a separate Math and Statistics group?</w:t>
      </w:r>
      <w:r w:rsidR="002C490B">
        <w:rPr>
          <w:rFonts w:ascii="Arial" w:hAnsi="Arial" w:cs="Arial"/>
          <w:sz w:val="20"/>
        </w:rPr>
        <w:t xml:space="preserve"> There are concerns that there may be a disconnect since these groups are separate and we don’t have representation on the Math Sub-Committee.</w:t>
      </w:r>
    </w:p>
    <w:p w:rsidR="009947DE" w:rsidRDefault="003E782F" w:rsidP="003E782F">
      <w:pPr>
        <w:pStyle w:val="ListParagraph"/>
        <w:numPr>
          <w:ilvl w:val="3"/>
          <w:numId w:val="1"/>
        </w:numPr>
        <w:rPr>
          <w:rFonts w:ascii="Arial" w:hAnsi="Arial" w:cs="Arial"/>
          <w:sz w:val="20"/>
        </w:rPr>
      </w:pPr>
      <w:r>
        <w:rPr>
          <w:rFonts w:ascii="Arial" w:hAnsi="Arial" w:cs="Arial"/>
          <w:sz w:val="20"/>
        </w:rPr>
        <w:t xml:space="preserve">Some colleges have </w:t>
      </w:r>
      <w:r w:rsidR="009947DE">
        <w:rPr>
          <w:rFonts w:ascii="Arial" w:hAnsi="Arial" w:cs="Arial"/>
          <w:sz w:val="20"/>
        </w:rPr>
        <w:t>specialty faculty in these areas.</w:t>
      </w:r>
    </w:p>
    <w:p w:rsidR="000A2CBF" w:rsidRDefault="009947DE" w:rsidP="003E782F">
      <w:pPr>
        <w:pStyle w:val="ListParagraph"/>
        <w:numPr>
          <w:ilvl w:val="3"/>
          <w:numId w:val="1"/>
        </w:numPr>
        <w:rPr>
          <w:rFonts w:ascii="Arial" w:hAnsi="Arial" w:cs="Arial"/>
          <w:sz w:val="20"/>
        </w:rPr>
      </w:pPr>
      <w:r>
        <w:rPr>
          <w:rFonts w:ascii="Arial" w:hAnsi="Arial" w:cs="Arial"/>
          <w:sz w:val="20"/>
        </w:rPr>
        <w:t>Kelly Mercer has revised her sabbatical plans to include work on the Stats Common Course Numbering group.</w:t>
      </w:r>
    </w:p>
    <w:p w:rsidR="00A1256B" w:rsidRDefault="00781EA3" w:rsidP="000A2CBF">
      <w:pPr>
        <w:pStyle w:val="ListParagraph"/>
        <w:numPr>
          <w:ilvl w:val="2"/>
          <w:numId w:val="1"/>
        </w:numPr>
        <w:rPr>
          <w:rFonts w:ascii="Arial" w:hAnsi="Arial" w:cs="Arial"/>
          <w:sz w:val="20"/>
        </w:rPr>
      </w:pPr>
      <w:r>
        <w:rPr>
          <w:rFonts w:ascii="Arial" w:hAnsi="Arial" w:cs="Arial"/>
          <w:sz w:val="20"/>
        </w:rPr>
        <w:t>The Writing group was told that c</w:t>
      </w:r>
      <w:r w:rsidR="000A2CBF">
        <w:rPr>
          <w:rFonts w:ascii="Arial" w:hAnsi="Arial" w:cs="Arial"/>
          <w:sz w:val="20"/>
        </w:rPr>
        <w:t>olleges have approval to add up to 25% more language to the description and student learning outcomes.</w:t>
      </w:r>
    </w:p>
    <w:p w:rsidR="00781EA3" w:rsidRDefault="00A1256B" w:rsidP="00A1256B">
      <w:pPr>
        <w:pStyle w:val="ListParagraph"/>
        <w:numPr>
          <w:ilvl w:val="3"/>
          <w:numId w:val="1"/>
        </w:numPr>
        <w:rPr>
          <w:rFonts w:ascii="Arial" w:hAnsi="Arial" w:cs="Arial"/>
          <w:sz w:val="20"/>
        </w:rPr>
      </w:pPr>
      <w:r>
        <w:rPr>
          <w:rFonts w:ascii="Arial" w:hAnsi="Arial" w:cs="Arial"/>
          <w:sz w:val="20"/>
        </w:rPr>
        <w:t>The COMM group was specifically told they couldn’t modify the course description, but they could add up to 25% more SLOs</w:t>
      </w:r>
      <w:r w:rsidR="00BE3B1D">
        <w:rPr>
          <w:rFonts w:ascii="Arial" w:hAnsi="Arial" w:cs="Arial"/>
          <w:sz w:val="20"/>
        </w:rPr>
        <w:t>.</w:t>
      </w:r>
    </w:p>
    <w:p w:rsidR="00A723B3" w:rsidRPr="007D49B3" w:rsidRDefault="00781EA3" w:rsidP="007D49B3">
      <w:pPr>
        <w:pStyle w:val="ListParagraph"/>
        <w:numPr>
          <w:ilvl w:val="3"/>
          <w:numId w:val="1"/>
        </w:numPr>
        <w:rPr>
          <w:rFonts w:ascii="Arial" w:hAnsi="Arial" w:cs="Arial"/>
          <w:sz w:val="20"/>
        </w:rPr>
      </w:pPr>
      <w:r>
        <w:rPr>
          <w:rFonts w:ascii="Arial" w:hAnsi="Arial" w:cs="Arial"/>
          <w:sz w:val="20"/>
        </w:rPr>
        <w:t>David Plotkin will check this morning</w:t>
      </w:r>
      <w:r w:rsidR="00A1256B">
        <w:rPr>
          <w:rFonts w:ascii="Arial" w:hAnsi="Arial" w:cs="Arial"/>
          <w:sz w:val="20"/>
        </w:rPr>
        <w:t>.</w:t>
      </w:r>
      <w:bookmarkStart w:id="1" w:name="_GoBack"/>
      <w:bookmarkEnd w:id="1"/>
    </w:p>
    <w:p w:rsidR="009947DE" w:rsidRDefault="009947DE" w:rsidP="009947DE">
      <w:pPr>
        <w:rPr>
          <w:rFonts w:ascii="Arial" w:hAnsi="Arial" w:cs="Arial"/>
          <w:sz w:val="20"/>
        </w:rPr>
      </w:pPr>
    </w:p>
    <w:p w:rsidR="009947DE" w:rsidRPr="009947DE" w:rsidRDefault="009947DE" w:rsidP="009947DE">
      <w:pPr>
        <w:rPr>
          <w:rFonts w:ascii="Arial" w:hAnsi="Arial" w:cs="Arial"/>
          <w:sz w:val="20"/>
        </w:rPr>
      </w:pPr>
    </w:p>
    <w:tbl>
      <w:tblPr>
        <w:tblW w:w="9890" w:type="dxa"/>
        <w:tblLook w:val="04A0" w:firstRow="1" w:lastRow="0" w:firstColumn="1" w:lastColumn="0" w:noHBand="0" w:noVBand="1"/>
      </w:tblPr>
      <w:tblGrid>
        <w:gridCol w:w="981"/>
        <w:gridCol w:w="1650"/>
        <w:gridCol w:w="723"/>
        <w:gridCol w:w="723"/>
        <w:gridCol w:w="1620"/>
        <w:gridCol w:w="1987"/>
        <w:gridCol w:w="1071"/>
        <w:gridCol w:w="1135"/>
      </w:tblGrid>
      <w:tr w:rsidR="009733B8" w:rsidRPr="009733B8" w:rsidTr="009733B8">
        <w:trPr>
          <w:trHeight w:val="288"/>
        </w:trPr>
        <w:tc>
          <w:tcPr>
            <w:tcW w:w="982" w:type="dxa"/>
            <w:tcBorders>
              <w:top w:val="single" w:sz="4" w:space="0" w:color="4472C4"/>
              <w:left w:val="single" w:sz="4" w:space="0" w:color="4472C4"/>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Current CRSE</w:t>
            </w:r>
          </w:p>
        </w:tc>
        <w:tc>
          <w:tcPr>
            <w:tcW w:w="1651" w:type="dxa"/>
            <w:tcBorders>
              <w:top w:val="single" w:sz="4" w:space="0" w:color="4472C4"/>
              <w:left w:val="nil"/>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Current Title</w:t>
            </w:r>
          </w:p>
        </w:tc>
        <w:tc>
          <w:tcPr>
            <w:tcW w:w="721" w:type="dxa"/>
            <w:tcBorders>
              <w:top w:val="single" w:sz="4" w:space="0" w:color="4472C4"/>
              <w:left w:val="nil"/>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Current Hours</w:t>
            </w:r>
          </w:p>
        </w:tc>
        <w:tc>
          <w:tcPr>
            <w:tcW w:w="721" w:type="dxa"/>
            <w:tcBorders>
              <w:top w:val="single" w:sz="4" w:space="0" w:color="4472C4"/>
              <w:left w:val="nil"/>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Current Credits</w:t>
            </w:r>
          </w:p>
        </w:tc>
        <w:tc>
          <w:tcPr>
            <w:tcW w:w="1621" w:type="dxa"/>
            <w:tcBorders>
              <w:top w:val="single" w:sz="4" w:space="0" w:color="4472C4"/>
              <w:left w:val="nil"/>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Proposed CRSE</w:t>
            </w:r>
          </w:p>
        </w:tc>
        <w:tc>
          <w:tcPr>
            <w:tcW w:w="1988" w:type="dxa"/>
            <w:tcBorders>
              <w:top w:val="single" w:sz="4" w:space="0" w:color="4472C4"/>
              <w:left w:val="nil"/>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Proposed Title</w:t>
            </w:r>
          </w:p>
        </w:tc>
        <w:tc>
          <w:tcPr>
            <w:tcW w:w="1071" w:type="dxa"/>
            <w:tcBorders>
              <w:top w:val="single" w:sz="4" w:space="0" w:color="4472C4"/>
              <w:left w:val="nil"/>
              <w:bottom w:val="nil"/>
              <w:right w:val="nil"/>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Proposed Hours</w:t>
            </w:r>
          </w:p>
        </w:tc>
        <w:tc>
          <w:tcPr>
            <w:tcW w:w="1135" w:type="dxa"/>
            <w:tcBorders>
              <w:top w:val="single" w:sz="4" w:space="0" w:color="4472C4"/>
              <w:left w:val="nil"/>
              <w:bottom w:val="nil"/>
              <w:right w:val="single" w:sz="4" w:space="0" w:color="4472C4"/>
            </w:tcBorders>
            <w:shd w:val="clear" w:color="4472C4" w:fill="4472C4"/>
            <w:noWrap/>
            <w:vAlign w:val="bottom"/>
            <w:hideMark/>
          </w:tcPr>
          <w:p w:rsidR="009733B8" w:rsidRPr="009733B8" w:rsidRDefault="009733B8" w:rsidP="009733B8">
            <w:pPr>
              <w:rPr>
                <w:rFonts w:eastAsia="Times New Roman" w:cs="Calibri"/>
                <w:b/>
                <w:bCs/>
                <w:color w:val="FFFFFF"/>
                <w:sz w:val="16"/>
                <w:szCs w:val="22"/>
              </w:rPr>
            </w:pPr>
            <w:r w:rsidRPr="009733B8">
              <w:rPr>
                <w:rFonts w:eastAsia="Times New Roman" w:cs="Calibri"/>
                <w:b/>
                <w:bCs/>
                <w:color w:val="FFFFFF"/>
                <w:sz w:val="16"/>
                <w:szCs w:val="22"/>
              </w:rPr>
              <w:t>Proposed Credits</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COMM-100</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Basic Speech Communication</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33</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3</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COMM-100Z</w:t>
            </w:r>
          </w:p>
        </w:tc>
        <w:tc>
          <w:tcPr>
            <w:tcW w:w="1988"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Introduction to Communication</w:t>
            </w:r>
          </w:p>
        </w:tc>
        <w:tc>
          <w:tcPr>
            <w:tcW w:w="1071"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COMM-111</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Public Speaking</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COMM-111Z</w:t>
            </w:r>
          </w:p>
        </w:tc>
        <w:tc>
          <w:tcPr>
            <w:tcW w:w="1988"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Public Speaking</w:t>
            </w:r>
          </w:p>
        </w:tc>
        <w:tc>
          <w:tcPr>
            <w:tcW w:w="107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COMM-218</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Interpersonal Communication</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COMM-218Z</w:t>
            </w:r>
          </w:p>
        </w:tc>
        <w:tc>
          <w:tcPr>
            <w:tcW w:w="1988"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Interpersonal Communication</w:t>
            </w:r>
          </w:p>
        </w:tc>
        <w:tc>
          <w:tcPr>
            <w:tcW w:w="107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MTH-105</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Math in Society</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MTH-105Z</w:t>
            </w:r>
          </w:p>
        </w:tc>
        <w:tc>
          <w:tcPr>
            <w:tcW w:w="1988"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Math in Society</w:t>
            </w:r>
          </w:p>
        </w:tc>
        <w:tc>
          <w:tcPr>
            <w:tcW w:w="107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MTH-111</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College Algebra</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55</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5</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MTH-111Z</w:t>
            </w:r>
          </w:p>
        </w:tc>
        <w:tc>
          <w:tcPr>
            <w:tcW w:w="1988"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Precalculus I: Functions</w:t>
            </w:r>
          </w:p>
        </w:tc>
        <w:tc>
          <w:tcPr>
            <w:tcW w:w="1071"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MTH-112</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Trigonometry and Pre-Calculus</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55</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5</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MTH-112Z</w:t>
            </w:r>
          </w:p>
        </w:tc>
        <w:tc>
          <w:tcPr>
            <w:tcW w:w="1988"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Precalculus II: Trigonometry</w:t>
            </w:r>
          </w:p>
        </w:tc>
        <w:tc>
          <w:tcPr>
            <w:tcW w:w="1071"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MTH-243</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Statistics I</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STAT-243Z</w:t>
            </w:r>
          </w:p>
        </w:tc>
        <w:tc>
          <w:tcPr>
            <w:tcW w:w="1988"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Elementary Statistics I</w:t>
            </w:r>
          </w:p>
        </w:tc>
        <w:tc>
          <w:tcPr>
            <w:tcW w:w="107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WR-121</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English Composition</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WR-121Z</w:t>
            </w:r>
          </w:p>
        </w:tc>
        <w:tc>
          <w:tcPr>
            <w:tcW w:w="1988"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Composition I</w:t>
            </w:r>
          </w:p>
        </w:tc>
        <w:tc>
          <w:tcPr>
            <w:tcW w:w="107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WR-122</w:t>
            </w:r>
          </w:p>
        </w:tc>
        <w:tc>
          <w:tcPr>
            <w:tcW w:w="165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English Composition</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WR-122Z</w:t>
            </w:r>
          </w:p>
        </w:tc>
        <w:tc>
          <w:tcPr>
            <w:tcW w:w="1988" w:type="dxa"/>
            <w:tcBorders>
              <w:top w:val="single" w:sz="4" w:space="0" w:color="4472C4"/>
              <w:left w:val="nil"/>
              <w:bottom w:val="nil"/>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Composition II</w:t>
            </w:r>
          </w:p>
        </w:tc>
        <w:tc>
          <w:tcPr>
            <w:tcW w:w="1071" w:type="dxa"/>
            <w:tcBorders>
              <w:top w:val="single" w:sz="4" w:space="0" w:color="4472C4"/>
              <w:left w:val="nil"/>
              <w:bottom w:val="nil"/>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nil"/>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r w:rsidR="009733B8" w:rsidRPr="009733B8" w:rsidTr="009733B8">
        <w:trPr>
          <w:trHeight w:val="288"/>
        </w:trPr>
        <w:tc>
          <w:tcPr>
            <w:tcW w:w="982" w:type="dxa"/>
            <w:tcBorders>
              <w:top w:val="single" w:sz="4" w:space="0" w:color="4472C4"/>
              <w:left w:val="single" w:sz="4" w:space="0" w:color="4472C4"/>
              <w:bottom w:val="single" w:sz="4" w:space="0" w:color="4472C4"/>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WR-227</w:t>
            </w:r>
          </w:p>
        </w:tc>
        <w:tc>
          <w:tcPr>
            <w:tcW w:w="1651" w:type="dxa"/>
            <w:tcBorders>
              <w:top w:val="single" w:sz="4" w:space="0" w:color="4472C4"/>
              <w:left w:val="nil"/>
              <w:bottom w:val="single" w:sz="4" w:space="0" w:color="4472C4"/>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Technical Report Writing</w:t>
            </w:r>
          </w:p>
        </w:tc>
        <w:tc>
          <w:tcPr>
            <w:tcW w:w="721" w:type="dxa"/>
            <w:tcBorders>
              <w:top w:val="single" w:sz="4" w:space="0" w:color="4472C4"/>
              <w:left w:val="nil"/>
              <w:bottom w:val="single" w:sz="4" w:space="0" w:color="4472C4"/>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721" w:type="dxa"/>
            <w:tcBorders>
              <w:top w:val="single" w:sz="4" w:space="0" w:color="4472C4"/>
              <w:left w:val="nil"/>
              <w:bottom w:val="single" w:sz="4" w:space="0" w:color="4472C4"/>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c>
          <w:tcPr>
            <w:tcW w:w="1621" w:type="dxa"/>
            <w:tcBorders>
              <w:top w:val="single" w:sz="4" w:space="0" w:color="4472C4"/>
              <w:left w:val="nil"/>
              <w:bottom w:val="single" w:sz="4" w:space="0" w:color="4472C4"/>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WR-227Z</w:t>
            </w:r>
          </w:p>
        </w:tc>
        <w:tc>
          <w:tcPr>
            <w:tcW w:w="1988" w:type="dxa"/>
            <w:tcBorders>
              <w:top w:val="single" w:sz="4" w:space="0" w:color="4472C4"/>
              <w:left w:val="nil"/>
              <w:bottom w:val="single" w:sz="4" w:space="0" w:color="4472C4"/>
              <w:right w:val="nil"/>
            </w:tcBorders>
            <w:shd w:val="clear" w:color="000000" w:fill="BFBFBF"/>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Technical Writing</w:t>
            </w:r>
          </w:p>
        </w:tc>
        <w:tc>
          <w:tcPr>
            <w:tcW w:w="1071" w:type="dxa"/>
            <w:tcBorders>
              <w:top w:val="single" w:sz="4" w:space="0" w:color="4472C4"/>
              <w:left w:val="nil"/>
              <w:bottom w:val="single" w:sz="4" w:space="0" w:color="4472C4"/>
              <w:right w:val="nil"/>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44</w:t>
            </w:r>
          </w:p>
        </w:tc>
        <w:tc>
          <w:tcPr>
            <w:tcW w:w="1135" w:type="dxa"/>
            <w:tcBorders>
              <w:top w:val="single" w:sz="4" w:space="0" w:color="4472C4"/>
              <w:left w:val="nil"/>
              <w:bottom w:val="single" w:sz="4" w:space="0" w:color="4472C4"/>
              <w:right w:val="single" w:sz="4" w:space="0" w:color="4472C4"/>
            </w:tcBorders>
            <w:shd w:val="clear" w:color="auto" w:fill="auto"/>
            <w:noWrap/>
            <w:vAlign w:val="bottom"/>
            <w:hideMark/>
          </w:tcPr>
          <w:p w:rsidR="009733B8" w:rsidRPr="009733B8" w:rsidRDefault="009733B8" w:rsidP="009733B8">
            <w:pPr>
              <w:rPr>
                <w:rFonts w:eastAsia="Times New Roman" w:cs="Calibri"/>
                <w:color w:val="000000"/>
                <w:sz w:val="16"/>
                <w:szCs w:val="22"/>
              </w:rPr>
            </w:pPr>
            <w:r w:rsidRPr="009733B8">
              <w:rPr>
                <w:rFonts w:eastAsia="Times New Roman" w:cs="Calibri"/>
                <w:color w:val="000000"/>
                <w:sz w:val="16"/>
                <w:szCs w:val="22"/>
              </w:rPr>
              <w:t>4</w:t>
            </w:r>
          </w:p>
        </w:tc>
      </w:tr>
    </w:tbl>
    <w:p w:rsidR="009733B8" w:rsidRPr="009733B8" w:rsidRDefault="009733B8" w:rsidP="009733B8">
      <w:pPr>
        <w:rPr>
          <w:rFonts w:ascii="Arial" w:hAnsi="Arial" w:cs="Arial"/>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E4103D">
              <w:rPr>
                <w:rFonts w:ascii="Arial" w:hAnsi="Arial" w:cs="Arial"/>
                <w:b/>
              </w:rPr>
              <w:t>December 2</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3BEC"/>
    <w:rsid w:val="00027CC0"/>
    <w:rsid w:val="00034494"/>
    <w:rsid w:val="0004291C"/>
    <w:rsid w:val="000A2735"/>
    <w:rsid w:val="000A2CBF"/>
    <w:rsid w:val="000C1504"/>
    <w:rsid w:val="000F74C6"/>
    <w:rsid w:val="00111949"/>
    <w:rsid w:val="00122B52"/>
    <w:rsid w:val="00130FF7"/>
    <w:rsid w:val="001326D7"/>
    <w:rsid w:val="001430BF"/>
    <w:rsid w:val="00143EF3"/>
    <w:rsid w:val="001625D4"/>
    <w:rsid w:val="001D7331"/>
    <w:rsid w:val="002204C8"/>
    <w:rsid w:val="00232179"/>
    <w:rsid w:val="002332B0"/>
    <w:rsid w:val="00241A94"/>
    <w:rsid w:val="002534BC"/>
    <w:rsid w:val="00295A56"/>
    <w:rsid w:val="002C490B"/>
    <w:rsid w:val="00332E11"/>
    <w:rsid w:val="0033326D"/>
    <w:rsid w:val="00334C55"/>
    <w:rsid w:val="00344EE8"/>
    <w:rsid w:val="00345C13"/>
    <w:rsid w:val="003851AC"/>
    <w:rsid w:val="003A1D18"/>
    <w:rsid w:val="003A712E"/>
    <w:rsid w:val="003B77B5"/>
    <w:rsid w:val="003B78B8"/>
    <w:rsid w:val="003E782F"/>
    <w:rsid w:val="0041117A"/>
    <w:rsid w:val="0044720D"/>
    <w:rsid w:val="0045398E"/>
    <w:rsid w:val="004674B9"/>
    <w:rsid w:val="00482A04"/>
    <w:rsid w:val="00490B10"/>
    <w:rsid w:val="00492143"/>
    <w:rsid w:val="004D599E"/>
    <w:rsid w:val="004D7D2F"/>
    <w:rsid w:val="004E3B8F"/>
    <w:rsid w:val="004F16A0"/>
    <w:rsid w:val="004F4E44"/>
    <w:rsid w:val="00504985"/>
    <w:rsid w:val="00523787"/>
    <w:rsid w:val="00587DB0"/>
    <w:rsid w:val="005A4A35"/>
    <w:rsid w:val="005D3F67"/>
    <w:rsid w:val="005E7D1C"/>
    <w:rsid w:val="00623384"/>
    <w:rsid w:val="00623EF7"/>
    <w:rsid w:val="006615AF"/>
    <w:rsid w:val="006C749E"/>
    <w:rsid w:val="006F0E69"/>
    <w:rsid w:val="00703BD2"/>
    <w:rsid w:val="00720800"/>
    <w:rsid w:val="007372CF"/>
    <w:rsid w:val="00781EA3"/>
    <w:rsid w:val="007A2BDE"/>
    <w:rsid w:val="007A310B"/>
    <w:rsid w:val="007D2930"/>
    <w:rsid w:val="007D49B3"/>
    <w:rsid w:val="007E5ECD"/>
    <w:rsid w:val="007E6964"/>
    <w:rsid w:val="007F40F8"/>
    <w:rsid w:val="0080784C"/>
    <w:rsid w:val="0082436D"/>
    <w:rsid w:val="00883070"/>
    <w:rsid w:val="0089191D"/>
    <w:rsid w:val="008A68A8"/>
    <w:rsid w:val="008E0AE1"/>
    <w:rsid w:val="0090318D"/>
    <w:rsid w:val="00933BEA"/>
    <w:rsid w:val="00944AEC"/>
    <w:rsid w:val="009615FD"/>
    <w:rsid w:val="00970554"/>
    <w:rsid w:val="009733B8"/>
    <w:rsid w:val="009826B5"/>
    <w:rsid w:val="00986267"/>
    <w:rsid w:val="009947DE"/>
    <w:rsid w:val="009A39D8"/>
    <w:rsid w:val="009C3535"/>
    <w:rsid w:val="009C7343"/>
    <w:rsid w:val="009E016D"/>
    <w:rsid w:val="009E0C7D"/>
    <w:rsid w:val="00A1256B"/>
    <w:rsid w:val="00A475DA"/>
    <w:rsid w:val="00A723B3"/>
    <w:rsid w:val="00A95B15"/>
    <w:rsid w:val="00B029EB"/>
    <w:rsid w:val="00B10771"/>
    <w:rsid w:val="00B15799"/>
    <w:rsid w:val="00B21C28"/>
    <w:rsid w:val="00B429AD"/>
    <w:rsid w:val="00B53CE3"/>
    <w:rsid w:val="00B5503D"/>
    <w:rsid w:val="00B72F24"/>
    <w:rsid w:val="00BB13BB"/>
    <w:rsid w:val="00BB5B5C"/>
    <w:rsid w:val="00BB6576"/>
    <w:rsid w:val="00BE3A60"/>
    <w:rsid w:val="00BE3B1D"/>
    <w:rsid w:val="00C006BA"/>
    <w:rsid w:val="00C25075"/>
    <w:rsid w:val="00C31B8A"/>
    <w:rsid w:val="00C32433"/>
    <w:rsid w:val="00C3758F"/>
    <w:rsid w:val="00C454F0"/>
    <w:rsid w:val="00C60127"/>
    <w:rsid w:val="00C73970"/>
    <w:rsid w:val="00C765DC"/>
    <w:rsid w:val="00C915F8"/>
    <w:rsid w:val="00C92F23"/>
    <w:rsid w:val="00CA03E4"/>
    <w:rsid w:val="00CA4EEA"/>
    <w:rsid w:val="00CB5B24"/>
    <w:rsid w:val="00CC3B0C"/>
    <w:rsid w:val="00CE24BC"/>
    <w:rsid w:val="00CF7012"/>
    <w:rsid w:val="00D02BDA"/>
    <w:rsid w:val="00D3305B"/>
    <w:rsid w:val="00D3371F"/>
    <w:rsid w:val="00D82E21"/>
    <w:rsid w:val="00D854BD"/>
    <w:rsid w:val="00DD7BD3"/>
    <w:rsid w:val="00DF1030"/>
    <w:rsid w:val="00DF4488"/>
    <w:rsid w:val="00E4103D"/>
    <w:rsid w:val="00E43D2F"/>
    <w:rsid w:val="00E538F3"/>
    <w:rsid w:val="00E57977"/>
    <w:rsid w:val="00E7022F"/>
    <w:rsid w:val="00E73E7C"/>
    <w:rsid w:val="00E76B72"/>
    <w:rsid w:val="00E91856"/>
    <w:rsid w:val="00E9736C"/>
    <w:rsid w:val="00EA721E"/>
    <w:rsid w:val="00EC0D62"/>
    <w:rsid w:val="00ED092E"/>
    <w:rsid w:val="00EE20F9"/>
    <w:rsid w:val="00F04CD7"/>
    <w:rsid w:val="00F34042"/>
    <w:rsid w:val="00F60624"/>
    <w:rsid w:val="00F947B1"/>
    <w:rsid w:val="00FB5861"/>
    <w:rsid w:val="00FD544D"/>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217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154999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80</cp:revision>
  <dcterms:created xsi:type="dcterms:W3CDTF">2021-09-02T16:50:00Z</dcterms:created>
  <dcterms:modified xsi:type="dcterms:W3CDTF">2022-11-18T17:04:00Z</dcterms:modified>
</cp:coreProperties>
</file>